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t>Executive Summary</w:t>
      </w: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t>Student’s Name</w:t>
      </w: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t>Institution</w:t>
      </w: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t>Course</w:t>
      </w: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t>Professor’s Name</w:t>
      </w: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t>Date</w:t>
      </w: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3E27EF" w:rsidP="00AD558F">
      <w:pPr>
        <w:spacing w:line="480" w:lineRule="auto"/>
        <w:ind w:firstLine="720"/>
        <w:jc w:val="center"/>
        <w:rPr>
          <w:rFonts w:ascii="Times New Roman" w:hAnsi="Times New Roman" w:cs="Times New Roman"/>
          <w:sz w:val="24"/>
          <w:szCs w:val="24"/>
        </w:rPr>
      </w:pPr>
    </w:p>
    <w:p w:rsidR="003E27E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lastRenderedPageBreak/>
        <w:t>Executive summary</w:t>
      </w:r>
    </w:p>
    <w:p w:rsidR="003E27EF" w:rsidRPr="00B611AF" w:rsidRDefault="00113421" w:rsidP="00AD558F">
      <w:pPr>
        <w:spacing w:line="480" w:lineRule="auto"/>
        <w:ind w:firstLine="720"/>
        <w:jc w:val="center"/>
        <w:rPr>
          <w:rFonts w:ascii="Times New Roman" w:hAnsi="Times New Roman" w:cs="Times New Roman"/>
          <w:b/>
          <w:bCs/>
          <w:sz w:val="24"/>
          <w:szCs w:val="24"/>
        </w:rPr>
      </w:pPr>
      <w:r w:rsidRPr="00B611AF">
        <w:rPr>
          <w:rFonts w:ascii="Times New Roman" w:hAnsi="Times New Roman" w:cs="Times New Roman"/>
          <w:b/>
          <w:bCs/>
          <w:sz w:val="24"/>
          <w:szCs w:val="24"/>
        </w:rPr>
        <w:t xml:space="preserve">The </w:t>
      </w:r>
      <w:r w:rsidR="00A90EFE" w:rsidRPr="00B611AF">
        <w:rPr>
          <w:rFonts w:ascii="Times New Roman" w:hAnsi="Times New Roman" w:cs="Times New Roman"/>
          <w:b/>
          <w:bCs/>
          <w:sz w:val="24"/>
          <w:szCs w:val="24"/>
        </w:rPr>
        <w:t>State</w:t>
      </w:r>
      <w:r w:rsidR="00A90EFE">
        <w:rPr>
          <w:rFonts w:ascii="Times New Roman" w:hAnsi="Times New Roman" w:cs="Times New Roman"/>
          <w:b/>
          <w:bCs/>
          <w:sz w:val="24"/>
          <w:szCs w:val="24"/>
        </w:rPr>
        <w:t>’s Population</w:t>
      </w:r>
      <w:r w:rsidR="00B611AF">
        <w:rPr>
          <w:rFonts w:ascii="Times New Roman" w:hAnsi="Times New Roman" w:cs="Times New Roman"/>
          <w:b/>
          <w:bCs/>
          <w:sz w:val="24"/>
          <w:szCs w:val="24"/>
        </w:rPr>
        <w:t xml:space="preserve"> </w:t>
      </w:r>
      <w:r w:rsidRPr="00B611AF">
        <w:rPr>
          <w:rFonts w:ascii="Times New Roman" w:hAnsi="Times New Roman" w:cs="Times New Roman"/>
          <w:b/>
          <w:bCs/>
          <w:sz w:val="24"/>
          <w:szCs w:val="24"/>
        </w:rPr>
        <w:t>Demographics</w:t>
      </w:r>
    </w:p>
    <w:p w:rsidR="003A2635" w:rsidRPr="00B611AF" w:rsidRDefault="00113421" w:rsidP="00AD558F">
      <w:pPr>
        <w:spacing w:line="480" w:lineRule="auto"/>
        <w:ind w:firstLine="720"/>
        <w:rPr>
          <w:rFonts w:ascii="Times New Roman" w:hAnsi="Times New Roman" w:cs="Times New Roman"/>
          <w:sz w:val="24"/>
          <w:szCs w:val="24"/>
        </w:rPr>
      </w:pPr>
      <w:r w:rsidRPr="00B611AF">
        <w:rPr>
          <w:rFonts w:ascii="Times New Roman" w:hAnsi="Times New Roman" w:cs="Times New Roman"/>
          <w:sz w:val="24"/>
          <w:szCs w:val="24"/>
        </w:rPr>
        <w:t xml:space="preserve">The state of California represents a typical example of an ethnically balanced population that lacks a dominant race. Here, the most populous ethnic group is the </w:t>
      </w:r>
      <w:r w:rsidR="002101E4" w:rsidRPr="00B611AF">
        <w:rPr>
          <w:rFonts w:ascii="Times New Roman" w:hAnsi="Times New Roman" w:cs="Times New Roman"/>
          <w:sz w:val="24"/>
          <w:szCs w:val="24"/>
        </w:rPr>
        <w:t>Latinos</w:t>
      </w:r>
      <w:r w:rsidRPr="00B611AF">
        <w:rPr>
          <w:rFonts w:ascii="Times New Roman" w:hAnsi="Times New Roman" w:cs="Times New Roman"/>
          <w:sz w:val="24"/>
          <w:szCs w:val="24"/>
        </w:rPr>
        <w:t>, who make 39 per cent of the total population</w:t>
      </w:r>
      <w:r w:rsidR="00160622" w:rsidRPr="00B611AF">
        <w:rPr>
          <w:rFonts w:ascii="Times New Roman" w:hAnsi="Times New Roman" w:cs="Times New Roman"/>
          <w:sz w:val="24"/>
          <w:szCs w:val="24"/>
        </w:rPr>
        <w:t xml:space="preserve"> (</w:t>
      </w:r>
      <w:r w:rsidR="00160622" w:rsidRPr="00B611AF">
        <w:rPr>
          <w:rFonts w:ascii="Times New Roman" w:hAnsi="Times New Roman" w:cs="Times New Roman"/>
          <w:color w:val="222222"/>
          <w:sz w:val="24"/>
          <w:szCs w:val="24"/>
          <w:shd w:val="clear" w:color="auto" w:fill="FFFFFF"/>
        </w:rPr>
        <w:t>Koh et al., 2020)</w:t>
      </w:r>
      <w:r w:rsidRPr="00B611AF">
        <w:rPr>
          <w:rFonts w:ascii="Times New Roman" w:hAnsi="Times New Roman" w:cs="Times New Roman"/>
          <w:sz w:val="24"/>
          <w:szCs w:val="24"/>
        </w:rPr>
        <w:t xml:space="preserve">. </w:t>
      </w:r>
      <w:r w:rsidR="002101E4" w:rsidRPr="00B611AF">
        <w:rPr>
          <w:rFonts w:ascii="Times New Roman" w:hAnsi="Times New Roman" w:cs="Times New Roman"/>
          <w:sz w:val="24"/>
          <w:szCs w:val="24"/>
        </w:rPr>
        <w:t>White</w:t>
      </w:r>
      <w:r w:rsidRPr="00B611AF">
        <w:rPr>
          <w:rFonts w:ascii="Times New Roman" w:hAnsi="Times New Roman" w:cs="Times New Roman"/>
          <w:sz w:val="24"/>
          <w:szCs w:val="24"/>
        </w:rPr>
        <w:t xml:space="preserve"> nationals have a 36 per cent population share, while the Asian or pacific islanders take 15 per cent of the population. In addition, African </w:t>
      </w:r>
      <w:r w:rsidR="002101E4" w:rsidRPr="00B611AF">
        <w:rPr>
          <w:rFonts w:ascii="Times New Roman" w:hAnsi="Times New Roman" w:cs="Times New Roman"/>
          <w:sz w:val="24"/>
          <w:szCs w:val="24"/>
        </w:rPr>
        <w:t>Americans</w:t>
      </w:r>
      <w:r w:rsidRPr="00B611AF">
        <w:rPr>
          <w:rFonts w:ascii="Times New Roman" w:hAnsi="Times New Roman" w:cs="Times New Roman"/>
          <w:sz w:val="24"/>
          <w:szCs w:val="24"/>
        </w:rPr>
        <w:t xml:space="preserve"> are 5 per cent, while multicultural individuals comprise 3 per cent of the state's population. When </w:t>
      </w:r>
      <w:r w:rsidR="002101E4" w:rsidRPr="00B611AF">
        <w:rPr>
          <w:rFonts w:ascii="Times New Roman" w:hAnsi="Times New Roman" w:cs="Times New Roman"/>
          <w:sz w:val="24"/>
          <w:szCs w:val="24"/>
        </w:rPr>
        <w:t>viewed</w:t>
      </w:r>
      <w:r w:rsidRPr="00B611AF">
        <w:rPr>
          <w:rFonts w:ascii="Times New Roman" w:hAnsi="Times New Roman" w:cs="Times New Roman"/>
          <w:sz w:val="24"/>
          <w:szCs w:val="24"/>
        </w:rPr>
        <w:t xml:space="preserve"> from a gender perspective, the state has 49.8 per cent males and 50.2 per cent females. Primarily, the population is comprised of people of ages less than 55 years, with a small portion of the population exceeding this age. For the dominant age brackets, the most populated section is people between 35 and 44 years. Lastly, the </w:t>
      </w:r>
      <w:r w:rsidR="002101E4" w:rsidRPr="00B611AF">
        <w:rPr>
          <w:rFonts w:ascii="Times New Roman" w:hAnsi="Times New Roman" w:cs="Times New Roman"/>
          <w:sz w:val="24"/>
          <w:szCs w:val="24"/>
        </w:rPr>
        <w:t>state’s</w:t>
      </w:r>
      <w:r w:rsidRPr="00B611AF">
        <w:rPr>
          <w:rFonts w:ascii="Times New Roman" w:hAnsi="Times New Roman" w:cs="Times New Roman"/>
          <w:sz w:val="24"/>
          <w:szCs w:val="24"/>
        </w:rPr>
        <w:t xml:space="preserve"> population growth rate has flopped recently in the years leading to 2020, when it shrank by 182,083.</w:t>
      </w:r>
    </w:p>
    <w:p w:rsidR="002101E4" w:rsidRPr="00B611AF" w:rsidRDefault="00113421" w:rsidP="00AD558F">
      <w:pPr>
        <w:spacing w:line="480" w:lineRule="auto"/>
        <w:ind w:firstLine="720"/>
        <w:jc w:val="center"/>
        <w:rPr>
          <w:rFonts w:ascii="Times New Roman" w:hAnsi="Times New Roman" w:cs="Times New Roman"/>
          <w:b/>
          <w:bCs/>
          <w:sz w:val="24"/>
          <w:szCs w:val="24"/>
        </w:rPr>
      </w:pPr>
      <w:r w:rsidRPr="00B611AF">
        <w:rPr>
          <w:rFonts w:ascii="Times New Roman" w:hAnsi="Times New Roman" w:cs="Times New Roman"/>
          <w:b/>
          <w:bCs/>
          <w:sz w:val="24"/>
          <w:szCs w:val="24"/>
        </w:rPr>
        <w:t>Health Concern Related Demographics</w:t>
      </w:r>
    </w:p>
    <w:p w:rsidR="002101E4" w:rsidRPr="00B611AF" w:rsidRDefault="00113421" w:rsidP="00AD558F">
      <w:pPr>
        <w:spacing w:line="480" w:lineRule="auto"/>
        <w:ind w:firstLine="720"/>
        <w:rPr>
          <w:rFonts w:ascii="Times New Roman" w:hAnsi="Times New Roman" w:cs="Times New Roman"/>
          <w:sz w:val="24"/>
          <w:szCs w:val="24"/>
        </w:rPr>
      </w:pPr>
      <w:r w:rsidRPr="00B611AF">
        <w:rPr>
          <w:rFonts w:ascii="Times New Roman" w:hAnsi="Times New Roman" w:cs="Times New Roman"/>
          <w:sz w:val="24"/>
          <w:szCs w:val="24"/>
        </w:rPr>
        <w:t xml:space="preserve">Anxiety disorder, one of the most prevalent psychiatric disorders in California, affects 23 per cent of women and </w:t>
      </w:r>
      <w:r w:rsidR="00160622" w:rsidRPr="00B611AF">
        <w:rPr>
          <w:rFonts w:ascii="Times New Roman" w:hAnsi="Times New Roman" w:cs="Times New Roman"/>
          <w:sz w:val="24"/>
          <w:szCs w:val="24"/>
        </w:rPr>
        <w:t>1</w:t>
      </w:r>
      <w:r w:rsidRPr="00B611AF">
        <w:rPr>
          <w:rFonts w:ascii="Times New Roman" w:hAnsi="Times New Roman" w:cs="Times New Roman"/>
          <w:sz w:val="24"/>
          <w:szCs w:val="24"/>
        </w:rPr>
        <w:t>4.3 per cent of men</w:t>
      </w:r>
      <w:r w:rsidR="00160622" w:rsidRPr="00B611AF">
        <w:rPr>
          <w:rFonts w:ascii="Times New Roman" w:hAnsi="Times New Roman" w:cs="Times New Roman"/>
          <w:sz w:val="24"/>
          <w:szCs w:val="24"/>
        </w:rPr>
        <w:t xml:space="preserve"> (</w:t>
      </w:r>
      <w:r w:rsidR="00160622" w:rsidRPr="00B611AF">
        <w:rPr>
          <w:rFonts w:ascii="Times New Roman" w:hAnsi="Times New Roman" w:cs="Times New Roman"/>
          <w:color w:val="222222"/>
          <w:sz w:val="24"/>
          <w:szCs w:val="24"/>
          <w:shd w:val="clear" w:color="auto" w:fill="FFFFFF"/>
        </w:rPr>
        <w:t>Koh et al., 2020)</w:t>
      </w:r>
      <w:r w:rsidRPr="00B611AF">
        <w:rPr>
          <w:rFonts w:ascii="Times New Roman" w:hAnsi="Times New Roman" w:cs="Times New Roman"/>
          <w:sz w:val="24"/>
          <w:szCs w:val="24"/>
        </w:rPr>
        <w:t xml:space="preserve">. Around 31 per cent of the adults in California suffer from anxiety conditions, with impairment ranging from mild to acute. Here, 23 per cent of the affected adults have a chronic impairment, 32 per cent inherit moderate impairment, while 45 per cent experience mild conditions. The white members of the population have higher chances of falling sick with anxiety than the other ethnicities, with a 12.6 percentage followed by 8.6 per cent of black </w:t>
      </w:r>
      <w:r w:rsidR="00466D24" w:rsidRPr="00B611AF">
        <w:rPr>
          <w:rFonts w:ascii="Times New Roman" w:hAnsi="Times New Roman" w:cs="Times New Roman"/>
          <w:sz w:val="24"/>
          <w:szCs w:val="24"/>
        </w:rPr>
        <w:t>Americans</w:t>
      </w:r>
      <w:r w:rsidRPr="00B611AF">
        <w:rPr>
          <w:rFonts w:ascii="Times New Roman" w:hAnsi="Times New Roman" w:cs="Times New Roman"/>
          <w:sz w:val="24"/>
          <w:szCs w:val="24"/>
        </w:rPr>
        <w:t xml:space="preserve">. Hispanic’s </w:t>
      </w:r>
      <w:r w:rsidR="00466D24" w:rsidRPr="00B611AF">
        <w:rPr>
          <w:rFonts w:ascii="Times New Roman" w:hAnsi="Times New Roman" w:cs="Times New Roman"/>
          <w:sz w:val="24"/>
          <w:szCs w:val="24"/>
        </w:rPr>
        <w:t>chances</w:t>
      </w:r>
      <w:r w:rsidRPr="00B611AF">
        <w:rPr>
          <w:rFonts w:ascii="Times New Roman" w:hAnsi="Times New Roman" w:cs="Times New Roman"/>
          <w:sz w:val="24"/>
          <w:szCs w:val="24"/>
        </w:rPr>
        <w:t xml:space="preserve"> of infection stand at 8.2 while Asian </w:t>
      </w:r>
      <w:r w:rsidR="00160622" w:rsidRPr="00B611AF">
        <w:rPr>
          <w:rFonts w:ascii="Times New Roman" w:hAnsi="Times New Roman" w:cs="Times New Roman"/>
          <w:sz w:val="24"/>
          <w:szCs w:val="24"/>
        </w:rPr>
        <w:t>Americans</w:t>
      </w:r>
      <w:r w:rsidR="00466D24" w:rsidRPr="00B611AF">
        <w:rPr>
          <w:rFonts w:ascii="Times New Roman" w:hAnsi="Times New Roman" w:cs="Times New Roman"/>
          <w:sz w:val="24"/>
          <w:szCs w:val="24"/>
        </w:rPr>
        <w:t xml:space="preserve"> have a percentage of 5.3. Of the various anxiety disorders, social anxiety disorder is the most prevalent form that affects 7.2 per cent of persons. Panic and generalized </w:t>
      </w:r>
      <w:r w:rsidR="00466D24" w:rsidRPr="00B611AF">
        <w:rPr>
          <w:rFonts w:ascii="Times New Roman" w:hAnsi="Times New Roman" w:cs="Times New Roman"/>
          <w:sz w:val="24"/>
          <w:szCs w:val="24"/>
        </w:rPr>
        <w:lastRenderedPageBreak/>
        <w:t xml:space="preserve">anxiety disorders are also manifested conditions in the population. Each of the disorders affects 2.7 per cent of the people in California, with females having higher chances of getting infected. </w:t>
      </w:r>
    </w:p>
    <w:p w:rsidR="00466D24" w:rsidRPr="00B611AF" w:rsidRDefault="00113421" w:rsidP="00AD558F">
      <w:pPr>
        <w:spacing w:line="480" w:lineRule="auto"/>
        <w:ind w:firstLine="720"/>
        <w:jc w:val="center"/>
        <w:rPr>
          <w:rFonts w:ascii="Times New Roman" w:hAnsi="Times New Roman" w:cs="Times New Roman"/>
          <w:b/>
          <w:bCs/>
          <w:sz w:val="24"/>
          <w:szCs w:val="24"/>
        </w:rPr>
      </w:pPr>
      <w:r w:rsidRPr="00B611AF">
        <w:rPr>
          <w:rFonts w:ascii="Times New Roman" w:hAnsi="Times New Roman" w:cs="Times New Roman"/>
          <w:b/>
          <w:bCs/>
          <w:sz w:val="24"/>
          <w:szCs w:val="24"/>
        </w:rPr>
        <w:t>Interview Findings</w:t>
      </w:r>
    </w:p>
    <w:p w:rsidR="00466D24" w:rsidRPr="00B611AF" w:rsidRDefault="00113421" w:rsidP="00AD558F">
      <w:pPr>
        <w:spacing w:line="480" w:lineRule="auto"/>
        <w:ind w:firstLine="720"/>
        <w:rPr>
          <w:rFonts w:ascii="Times New Roman" w:hAnsi="Times New Roman" w:cs="Times New Roman"/>
          <w:sz w:val="24"/>
          <w:szCs w:val="24"/>
        </w:rPr>
      </w:pPr>
      <w:r w:rsidRPr="00B611AF">
        <w:rPr>
          <w:rFonts w:ascii="Times New Roman" w:hAnsi="Times New Roman" w:cs="Times New Roman"/>
          <w:sz w:val="24"/>
          <w:szCs w:val="24"/>
        </w:rPr>
        <w:t xml:space="preserve">According to </w:t>
      </w:r>
      <w:r w:rsidRPr="00B611AF">
        <w:rPr>
          <w:rFonts w:ascii="Times New Roman" w:hAnsi="Times New Roman" w:cs="Times New Roman"/>
          <w:color w:val="222222"/>
          <w:sz w:val="24"/>
          <w:szCs w:val="24"/>
          <w:shd w:val="clear" w:color="auto" w:fill="FFFFFF"/>
        </w:rPr>
        <w:t>Mochon</w:t>
      </w:r>
      <w:r w:rsidRPr="00B611AF">
        <w:rPr>
          <w:rFonts w:ascii="Times New Roman" w:hAnsi="Times New Roman" w:cs="Times New Roman"/>
          <w:sz w:val="24"/>
          <w:szCs w:val="24"/>
        </w:rPr>
        <w:t xml:space="preserve"> et al. (2017), t</w:t>
      </w:r>
      <w:r w:rsidR="00D021B9" w:rsidRPr="00B611AF">
        <w:rPr>
          <w:rFonts w:ascii="Times New Roman" w:hAnsi="Times New Roman" w:cs="Times New Roman"/>
          <w:sz w:val="24"/>
          <w:szCs w:val="24"/>
        </w:rPr>
        <w:t xml:space="preserve">he national CLAS standards entail fifteen action steps to advance health equity and care quality. These standards dictate the collection and maintenance of accurate &amp; reliable demographic data to assess the effects of CLAS on healthcare equity and outcomes. From the health care organization interview, I found that whites are more </w:t>
      </w:r>
      <w:r w:rsidR="00167D75" w:rsidRPr="00B611AF">
        <w:rPr>
          <w:rFonts w:ascii="Times New Roman" w:hAnsi="Times New Roman" w:cs="Times New Roman"/>
          <w:sz w:val="24"/>
          <w:szCs w:val="24"/>
        </w:rPr>
        <w:t>susceptible</w:t>
      </w:r>
      <w:r w:rsidR="00D021B9" w:rsidRPr="00B611AF">
        <w:rPr>
          <w:rFonts w:ascii="Times New Roman" w:hAnsi="Times New Roman" w:cs="Times New Roman"/>
          <w:sz w:val="24"/>
          <w:szCs w:val="24"/>
        </w:rPr>
        <w:t xml:space="preserve"> to anxiety disorders. However, the rate for African Americans and other non-white groups would have been lower were it not for the health disparities that dominate the health care system. From the interview, I noted that the medical care workers could create effective interventions to promote equity of care and boost the overall patient outcomes. Carefully internalizing the interview would result in </w:t>
      </w:r>
      <w:r w:rsidR="00167D75" w:rsidRPr="00B611AF">
        <w:rPr>
          <w:rFonts w:ascii="Times New Roman" w:hAnsi="Times New Roman" w:cs="Times New Roman"/>
          <w:sz w:val="24"/>
          <w:szCs w:val="24"/>
        </w:rPr>
        <w:t>plausible interventions to deal with patients' experiences at the psychological clinics.</w:t>
      </w:r>
    </w:p>
    <w:p w:rsidR="00167D75" w:rsidRPr="00B611AF" w:rsidRDefault="00113421" w:rsidP="00AD558F">
      <w:pPr>
        <w:spacing w:line="480" w:lineRule="auto"/>
        <w:ind w:firstLine="720"/>
        <w:jc w:val="center"/>
        <w:rPr>
          <w:rFonts w:ascii="Times New Roman" w:hAnsi="Times New Roman" w:cs="Times New Roman"/>
          <w:b/>
          <w:bCs/>
          <w:sz w:val="24"/>
          <w:szCs w:val="24"/>
        </w:rPr>
      </w:pPr>
      <w:r w:rsidRPr="00B611AF">
        <w:rPr>
          <w:rFonts w:ascii="Times New Roman" w:hAnsi="Times New Roman" w:cs="Times New Roman"/>
          <w:b/>
          <w:bCs/>
          <w:sz w:val="24"/>
          <w:szCs w:val="24"/>
        </w:rPr>
        <w:t>Intervention and Health Promotion Plan Key Components</w:t>
      </w:r>
    </w:p>
    <w:p w:rsidR="00167D75" w:rsidRPr="00B611AF" w:rsidRDefault="00113421" w:rsidP="00AD558F">
      <w:pPr>
        <w:spacing w:line="480" w:lineRule="auto"/>
        <w:ind w:firstLine="720"/>
        <w:rPr>
          <w:rFonts w:ascii="Times New Roman" w:hAnsi="Times New Roman" w:cs="Times New Roman"/>
          <w:sz w:val="24"/>
          <w:szCs w:val="24"/>
        </w:rPr>
      </w:pPr>
      <w:r w:rsidRPr="00B611AF">
        <w:rPr>
          <w:rFonts w:ascii="Times New Roman" w:hAnsi="Times New Roman" w:cs="Times New Roman"/>
          <w:sz w:val="24"/>
          <w:szCs w:val="24"/>
        </w:rPr>
        <w:t>An intervention to tackle the issues related to anxiety disorder would require innovation by the developing caregiver to create the desired impact</w:t>
      </w:r>
      <w:r w:rsidR="00160622" w:rsidRPr="00B611AF">
        <w:rPr>
          <w:rFonts w:ascii="Times New Roman" w:hAnsi="Times New Roman" w:cs="Times New Roman"/>
          <w:sz w:val="24"/>
          <w:szCs w:val="24"/>
        </w:rPr>
        <w:t xml:space="preserve"> (</w:t>
      </w:r>
      <w:r w:rsidR="00160622" w:rsidRPr="00B611AF">
        <w:rPr>
          <w:rFonts w:ascii="Times New Roman" w:hAnsi="Times New Roman" w:cs="Times New Roman"/>
          <w:color w:val="222222"/>
          <w:sz w:val="24"/>
          <w:szCs w:val="24"/>
          <w:shd w:val="clear" w:color="auto" w:fill="FFFFFF"/>
        </w:rPr>
        <w:t>Mochon et al., 2017)</w:t>
      </w:r>
      <w:r w:rsidRPr="00B611AF">
        <w:rPr>
          <w:rFonts w:ascii="Times New Roman" w:hAnsi="Times New Roman" w:cs="Times New Roman"/>
          <w:sz w:val="24"/>
          <w:szCs w:val="24"/>
        </w:rPr>
        <w:t xml:space="preserve">. A clinician should formulate an innovative intervention to </w:t>
      </w:r>
      <w:r w:rsidR="009C2DE5" w:rsidRPr="00B611AF">
        <w:rPr>
          <w:rFonts w:ascii="Times New Roman" w:hAnsi="Times New Roman" w:cs="Times New Roman"/>
          <w:sz w:val="24"/>
          <w:szCs w:val="24"/>
        </w:rPr>
        <w:t>meet</w:t>
      </w:r>
      <w:r w:rsidRPr="00B611AF">
        <w:rPr>
          <w:rFonts w:ascii="Times New Roman" w:hAnsi="Times New Roman" w:cs="Times New Roman"/>
          <w:sz w:val="24"/>
          <w:szCs w:val="24"/>
        </w:rPr>
        <w:t xml:space="preserve"> the technical </w:t>
      </w:r>
      <w:r w:rsidR="009C2DE5" w:rsidRPr="00B611AF">
        <w:rPr>
          <w:rFonts w:ascii="Times New Roman" w:hAnsi="Times New Roman" w:cs="Times New Roman"/>
          <w:sz w:val="24"/>
          <w:szCs w:val="24"/>
        </w:rPr>
        <w:t>applicability</w:t>
      </w:r>
      <w:r w:rsidRPr="00B611AF">
        <w:rPr>
          <w:rFonts w:ascii="Times New Roman" w:hAnsi="Times New Roman" w:cs="Times New Roman"/>
          <w:sz w:val="24"/>
          <w:szCs w:val="24"/>
        </w:rPr>
        <w:t xml:space="preserve"> in the health care setting. Performance management is another </w:t>
      </w:r>
      <w:r w:rsidR="009C2DE5" w:rsidRPr="00B611AF">
        <w:rPr>
          <w:rFonts w:ascii="Times New Roman" w:hAnsi="Times New Roman" w:cs="Times New Roman"/>
          <w:sz w:val="24"/>
          <w:szCs w:val="24"/>
        </w:rPr>
        <w:t>intervention component since</w:t>
      </w:r>
      <w:r w:rsidRPr="00B611AF">
        <w:rPr>
          <w:rFonts w:ascii="Times New Roman" w:hAnsi="Times New Roman" w:cs="Times New Roman"/>
          <w:sz w:val="24"/>
          <w:szCs w:val="24"/>
        </w:rPr>
        <w:t xml:space="preserve"> it ensures that the measures developed can benefit the patient and clinician. Similarly, an intervention must incorporate an interdisciplinary approach </w:t>
      </w:r>
      <w:r w:rsidR="009C2DE5" w:rsidRPr="00B611AF">
        <w:rPr>
          <w:rFonts w:ascii="Times New Roman" w:hAnsi="Times New Roman" w:cs="Times New Roman"/>
          <w:sz w:val="24"/>
          <w:szCs w:val="24"/>
        </w:rPr>
        <w:t xml:space="preserve">that champions teamwork. The health promotion plan should entail goals, well-defined action steps, and the individuals responsible for the undertaking. Again, the plan should include the defined timeline, outcome indicators, and </w:t>
      </w:r>
      <w:r w:rsidR="009C2DE5" w:rsidRPr="00B611AF">
        <w:rPr>
          <w:rFonts w:ascii="Times New Roman" w:hAnsi="Times New Roman" w:cs="Times New Roman"/>
          <w:sz w:val="24"/>
          <w:szCs w:val="24"/>
        </w:rPr>
        <w:lastRenderedPageBreak/>
        <w:t>assessment mechanism to impact the target population efficiently. A well-formulated health promotion plan would improve the population's attitude to seek medical attention at the early stages of mental illnesses to avoid severe cases. In addition, such promotion would help people adopt healthy lifestyles that would help minimize the rate of infection. Effective interventions would serve to eliminate the existing health disparities hence improving patient outcomes.</w:t>
      </w:r>
    </w:p>
    <w:p w:rsidR="009C2DE5" w:rsidRPr="00B611AF" w:rsidRDefault="00113421" w:rsidP="00AD558F">
      <w:pPr>
        <w:spacing w:line="480" w:lineRule="auto"/>
        <w:ind w:firstLine="720"/>
        <w:jc w:val="center"/>
        <w:rPr>
          <w:rFonts w:ascii="Times New Roman" w:hAnsi="Times New Roman" w:cs="Times New Roman"/>
          <w:b/>
          <w:bCs/>
          <w:sz w:val="24"/>
          <w:szCs w:val="24"/>
        </w:rPr>
      </w:pPr>
      <w:r w:rsidRPr="00B611AF">
        <w:rPr>
          <w:rFonts w:ascii="Times New Roman" w:hAnsi="Times New Roman" w:cs="Times New Roman"/>
          <w:b/>
          <w:bCs/>
          <w:sz w:val="24"/>
          <w:szCs w:val="24"/>
        </w:rPr>
        <w:t>Cross-Cultural Collaboration Strategies</w:t>
      </w:r>
    </w:p>
    <w:p w:rsidR="009C2DE5" w:rsidRPr="00B611AF" w:rsidRDefault="00113421" w:rsidP="00AD558F">
      <w:pPr>
        <w:spacing w:line="480" w:lineRule="auto"/>
        <w:ind w:firstLine="720"/>
        <w:rPr>
          <w:rFonts w:ascii="Times New Roman" w:hAnsi="Times New Roman" w:cs="Times New Roman"/>
          <w:sz w:val="24"/>
          <w:szCs w:val="24"/>
        </w:rPr>
      </w:pPr>
      <w:r w:rsidRPr="00B611AF">
        <w:rPr>
          <w:rFonts w:ascii="Times New Roman" w:hAnsi="Times New Roman" w:cs="Times New Roman"/>
          <w:sz w:val="24"/>
          <w:szCs w:val="24"/>
        </w:rPr>
        <w:t>Employing a racially diverse health workforce does not solve the problem of inequality in medical care. The collaboration between these racially different employees serves as the key to unlocking the health disparity problem</w:t>
      </w:r>
      <w:r w:rsidR="00160622" w:rsidRPr="00B611AF">
        <w:rPr>
          <w:rFonts w:ascii="Times New Roman" w:hAnsi="Times New Roman" w:cs="Times New Roman"/>
          <w:sz w:val="24"/>
          <w:szCs w:val="24"/>
        </w:rPr>
        <w:t xml:space="preserve"> (</w:t>
      </w:r>
      <w:r w:rsidR="00160622" w:rsidRPr="00B611AF">
        <w:rPr>
          <w:rFonts w:ascii="Times New Roman" w:hAnsi="Times New Roman" w:cs="Times New Roman"/>
          <w:color w:val="222222"/>
          <w:sz w:val="24"/>
          <w:szCs w:val="24"/>
          <w:shd w:val="clear" w:color="auto" w:fill="FFFFFF"/>
        </w:rPr>
        <w:t>Derrington et al., 2018)</w:t>
      </w:r>
      <w:r w:rsidRPr="00B611AF">
        <w:rPr>
          <w:rFonts w:ascii="Times New Roman" w:hAnsi="Times New Roman" w:cs="Times New Roman"/>
          <w:sz w:val="24"/>
          <w:szCs w:val="24"/>
        </w:rPr>
        <w:t xml:space="preserve">. In facilitating this, various </w:t>
      </w:r>
      <w:r w:rsidR="00B96762" w:rsidRPr="00B611AF">
        <w:rPr>
          <w:rFonts w:ascii="Times New Roman" w:hAnsi="Times New Roman" w:cs="Times New Roman"/>
          <w:sz w:val="24"/>
          <w:szCs w:val="24"/>
        </w:rPr>
        <w:t>strategies</w:t>
      </w:r>
      <w:r w:rsidRPr="00B611AF">
        <w:rPr>
          <w:rFonts w:ascii="Times New Roman" w:hAnsi="Times New Roman" w:cs="Times New Roman"/>
          <w:sz w:val="24"/>
          <w:szCs w:val="24"/>
        </w:rPr>
        <w:t xml:space="preserve"> could be implemented by caregivers. First, the creation of a cross-cultural awareness program would help hospital staff work together without race constraints. Again, team building activities should consider combining people from different races to enhance open interracial communication at the workplace. A caregiver would also adopt flexi</w:t>
      </w:r>
      <w:r w:rsidR="00B96762" w:rsidRPr="00B611AF">
        <w:rPr>
          <w:rFonts w:ascii="Times New Roman" w:hAnsi="Times New Roman" w:cs="Times New Roman"/>
          <w:sz w:val="24"/>
          <w:szCs w:val="24"/>
        </w:rPr>
        <w:t>bi</w:t>
      </w:r>
      <w:r w:rsidRPr="00B611AF">
        <w:rPr>
          <w:rFonts w:ascii="Times New Roman" w:hAnsi="Times New Roman" w:cs="Times New Roman"/>
          <w:sz w:val="24"/>
          <w:szCs w:val="24"/>
        </w:rPr>
        <w:t xml:space="preserve">lity to fit into other cultures. This flexibility would help the clinician to understand the priorities of her racially different co-workers and approach them appropriately. </w:t>
      </w:r>
      <w:r w:rsidR="00B96762" w:rsidRPr="00B611AF">
        <w:rPr>
          <w:rFonts w:ascii="Times New Roman" w:hAnsi="Times New Roman" w:cs="Times New Roman"/>
          <w:sz w:val="24"/>
          <w:szCs w:val="24"/>
        </w:rPr>
        <w:t>Lastly, nurses should develop active listening skills to minimize the effects of assumptions and biases on their decision-making processes. These biases can minimize trust between people of different races preventing effective collaboration.</w:t>
      </w:r>
    </w:p>
    <w:p w:rsidR="00B96762" w:rsidRPr="00B611AF" w:rsidRDefault="00113421" w:rsidP="00AD558F">
      <w:pPr>
        <w:spacing w:line="480" w:lineRule="auto"/>
        <w:ind w:firstLine="720"/>
        <w:jc w:val="center"/>
        <w:rPr>
          <w:rFonts w:ascii="Times New Roman" w:hAnsi="Times New Roman" w:cs="Times New Roman"/>
          <w:b/>
          <w:bCs/>
          <w:sz w:val="24"/>
          <w:szCs w:val="24"/>
        </w:rPr>
      </w:pPr>
      <w:r w:rsidRPr="00B611AF">
        <w:rPr>
          <w:rFonts w:ascii="Times New Roman" w:hAnsi="Times New Roman" w:cs="Times New Roman"/>
          <w:b/>
          <w:bCs/>
          <w:sz w:val="24"/>
          <w:szCs w:val="24"/>
        </w:rPr>
        <w:t>Advocating for and Implementing the Intervention and Health Promotion Plan</w:t>
      </w:r>
    </w:p>
    <w:p w:rsidR="00B611AF" w:rsidRDefault="00113421" w:rsidP="00AD558F">
      <w:pPr>
        <w:spacing w:line="480" w:lineRule="auto"/>
        <w:ind w:firstLine="720"/>
        <w:rPr>
          <w:rFonts w:ascii="Times New Roman" w:hAnsi="Times New Roman" w:cs="Times New Roman"/>
          <w:sz w:val="24"/>
          <w:szCs w:val="24"/>
        </w:rPr>
      </w:pPr>
      <w:r w:rsidRPr="00B611AF">
        <w:rPr>
          <w:rFonts w:ascii="Times New Roman" w:hAnsi="Times New Roman" w:cs="Times New Roman"/>
          <w:sz w:val="24"/>
          <w:szCs w:val="24"/>
        </w:rPr>
        <w:t>In implementing the interventions</w:t>
      </w:r>
      <w:r w:rsidR="00BC3989" w:rsidRPr="00B611AF">
        <w:rPr>
          <w:rFonts w:ascii="Times New Roman" w:hAnsi="Times New Roman" w:cs="Times New Roman"/>
          <w:sz w:val="24"/>
          <w:szCs w:val="24"/>
        </w:rPr>
        <w:t xml:space="preserve"> and health promotion plan</w:t>
      </w:r>
      <w:r w:rsidRPr="00B611AF">
        <w:rPr>
          <w:rFonts w:ascii="Times New Roman" w:hAnsi="Times New Roman" w:cs="Times New Roman"/>
          <w:sz w:val="24"/>
          <w:szCs w:val="24"/>
        </w:rPr>
        <w:t xml:space="preserve">, stakeholders would come up with several strategies. </w:t>
      </w:r>
      <w:r w:rsidR="00160622" w:rsidRPr="00B611AF">
        <w:rPr>
          <w:rFonts w:ascii="Times New Roman" w:hAnsi="Times New Roman" w:cs="Times New Roman"/>
          <w:sz w:val="24"/>
          <w:szCs w:val="24"/>
        </w:rPr>
        <w:t xml:space="preserve">According to </w:t>
      </w:r>
      <w:r w:rsidR="00160622" w:rsidRPr="00B611AF">
        <w:rPr>
          <w:rFonts w:ascii="Times New Roman" w:hAnsi="Times New Roman" w:cs="Times New Roman"/>
          <w:color w:val="222222"/>
          <w:sz w:val="24"/>
          <w:szCs w:val="24"/>
          <w:shd w:val="clear" w:color="auto" w:fill="FFFFFF"/>
        </w:rPr>
        <w:t>Barry et al. (2019)</w:t>
      </w:r>
      <w:r w:rsidRPr="00B611AF">
        <w:rPr>
          <w:rFonts w:ascii="Times New Roman" w:hAnsi="Times New Roman" w:cs="Times New Roman"/>
          <w:sz w:val="24"/>
          <w:szCs w:val="24"/>
        </w:rPr>
        <w:t xml:space="preserve">, </w:t>
      </w:r>
      <w:r w:rsidR="00BC3989" w:rsidRPr="00B611AF">
        <w:rPr>
          <w:rFonts w:ascii="Times New Roman" w:hAnsi="Times New Roman" w:cs="Times New Roman"/>
          <w:sz w:val="24"/>
          <w:szCs w:val="24"/>
        </w:rPr>
        <w:t xml:space="preserve">stakeholders should </w:t>
      </w:r>
      <w:r w:rsidRPr="00B611AF">
        <w:rPr>
          <w:rFonts w:ascii="Times New Roman" w:hAnsi="Times New Roman" w:cs="Times New Roman"/>
          <w:sz w:val="24"/>
          <w:szCs w:val="24"/>
        </w:rPr>
        <w:t>undertak</w:t>
      </w:r>
      <w:r w:rsidR="00BC3989" w:rsidRPr="00B611AF">
        <w:rPr>
          <w:rFonts w:ascii="Times New Roman" w:hAnsi="Times New Roman" w:cs="Times New Roman"/>
          <w:sz w:val="24"/>
          <w:szCs w:val="24"/>
        </w:rPr>
        <w:t>e</w:t>
      </w:r>
      <w:r w:rsidRPr="00B611AF">
        <w:rPr>
          <w:rFonts w:ascii="Times New Roman" w:hAnsi="Times New Roman" w:cs="Times New Roman"/>
          <w:sz w:val="24"/>
          <w:szCs w:val="24"/>
        </w:rPr>
        <w:t xml:space="preserve"> activities to enable health care workers to gain the ability and freedom to execute </w:t>
      </w:r>
      <w:r w:rsidR="00BC3989" w:rsidRPr="00B611AF">
        <w:rPr>
          <w:rFonts w:ascii="Times New Roman" w:hAnsi="Times New Roman" w:cs="Times New Roman"/>
          <w:sz w:val="24"/>
          <w:szCs w:val="24"/>
        </w:rPr>
        <w:t xml:space="preserve">plausible </w:t>
      </w:r>
      <w:r w:rsidR="00BC3989" w:rsidRPr="00B611AF">
        <w:rPr>
          <w:rFonts w:ascii="Times New Roman" w:hAnsi="Times New Roman" w:cs="Times New Roman"/>
          <w:sz w:val="24"/>
          <w:szCs w:val="24"/>
        </w:rPr>
        <w:lastRenderedPageBreak/>
        <w:t>measures geared toward eliminating the existing disparities. Granting the caregiver the freedom to act in the patient's best interest would help improve the innovation of the workforce. Secondly, stakeholders should develop a mediating team that ensures that all workplace conflicts are solved amicably to avoid their permanent impact on the working relations. Lastly, developing nurses' advocacy teams would assist in improving the feeling of security of the workforce. Having people ready to defend their rights on their side would make health officers more confident in offering their services to the patients. Consequently, their performance would improve and promote patient satisfaction.</w:t>
      </w:r>
    </w:p>
    <w:p w:rsidR="00B611AF" w:rsidRDefault="00113421" w:rsidP="00AD558F">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B611AF" w:rsidRPr="00B611AF" w:rsidRDefault="00113421" w:rsidP="00AD558F">
      <w:pPr>
        <w:spacing w:line="480" w:lineRule="auto"/>
        <w:ind w:firstLine="720"/>
        <w:jc w:val="center"/>
        <w:rPr>
          <w:rFonts w:ascii="Times New Roman" w:hAnsi="Times New Roman" w:cs="Times New Roman"/>
          <w:sz w:val="24"/>
          <w:szCs w:val="24"/>
        </w:rPr>
      </w:pPr>
      <w:r w:rsidRPr="00B611AF">
        <w:rPr>
          <w:rFonts w:ascii="Times New Roman" w:hAnsi="Times New Roman" w:cs="Times New Roman"/>
          <w:sz w:val="24"/>
          <w:szCs w:val="24"/>
        </w:rPr>
        <w:lastRenderedPageBreak/>
        <w:t>References</w:t>
      </w:r>
    </w:p>
    <w:p w:rsidR="00B611AF" w:rsidRPr="00B611AF" w:rsidRDefault="00113421" w:rsidP="00AD558F">
      <w:pPr>
        <w:spacing w:line="480" w:lineRule="auto"/>
        <w:ind w:left="720" w:hanging="720"/>
        <w:rPr>
          <w:rFonts w:ascii="Times New Roman" w:hAnsi="Times New Roman" w:cs="Times New Roman"/>
          <w:color w:val="222222"/>
          <w:sz w:val="24"/>
          <w:szCs w:val="24"/>
          <w:shd w:val="clear" w:color="auto" w:fill="FFFFFF"/>
        </w:rPr>
      </w:pPr>
      <w:r w:rsidRPr="00B611AF">
        <w:rPr>
          <w:rFonts w:ascii="Times New Roman" w:hAnsi="Times New Roman" w:cs="Times New Roman"/>
          <w:color w:val="222222"/>
          <w:sz w:val="24"/>
          <w:szCs w:val="24"/>
          <w:shd w:val="clear" w:color="auto" w:fill="FFFFFF"/>
        </w:rPr>
        <w:t>Barry, M. M., Clarke, A. M., Petersen, I., &amp; Jenkins, R. (Eds.). (2019). </w:t>
      </w:r>
      <w:r w:rsidRPr="00B611AF">
        <w:rPr>
          <w:rFonts w:ascii="Times New Roman" w:hAnsi="Times New Roman" w:cs="Times New Roman"/>
          <w:i/>
          <w:iCs/>
          <w:color w:val="222222"/>
          <w:sz w:val="24"/>
          <w:szCs w:val="24"/>
          <w:shd w:val="clear" w:color="auto" w:fill="FFFFFF"/>
        </w:rPr>
        <w:t>Implementing mental health promotion</w:t>
      </w:r>
      <w:r w:rsidRPr="00B611AF">
        <w:rPr>
          <w:rFonts w:ascii="Times New Roman" w:hAnsi="Times New Roman" w:cs="Times New Roman"/>
          <w:color w:val="222222"/>
          <w:sz w:val="24"/>
          <w:szCs w:val="24"/>
          <w:shd w:val="clear" w:color="auto" w:fill="FFFFFF"/>
        </w:rPr>
        <w:t>. Springer Nature.</w:t>
      </w:r>
    </w:p>
    <w:p w:rsidR="00B611AF" w:rsidRPr="00B611AF" w:rsidRDefault="00113421" w:rsidP="00AD558F">
      <w:pPr>
        <w:spacing w:line="480" w:lineRule="auto"/>
        <w:ind w:left="720" w:hanging="720"/>
        <w:rPr>
          <w:rFonts w:ascii="Times New Roman" w:hAnsi="Times New Roman" w:cs="Times New Roman"/>
          <w:color w:val="222222"/>
          <w:sz w:val="24"/>
          <w:szCs w:val="24"/>
          <w:shd w:val="clear" w:color="auto" w:fill="FFFFFF"/>
        </w:rPr>
      </w:pPr>
      <w:r w:rsidRPr="00B611AF">
        <w:rPr>
          <w:rFonts w:ascii="Times New Roman" w:hAnsi="Times New Roman" w:cs="Times New Roman"/>
          <w:color w:val="222222"/>
          <w:sz w:val="24"/>
          <w:szCs w:val="24"/>
          <w:shd w:val="clear" w:color="auto" w:fill="FFFFFF"/>
        </w:rPr>
        <w:t>Derrington, S. F., Paquette, E., &amp; Johnson, K. A. (2018). Cross-cultural interactions and shared decision-making. </w:t>
      </w:r>
      <w:r w:rsidRPr="00B611AF">
        <w:rPr>
          <w:rFonts w:ascii="Times New Roman" w:hAnsi="Times New Roman" w:cs="Times New Roman"/>
          <w:i/>
          <w:iCs/>
          <w:color w:val="222222"/>
          <w:sz w:val="24"/>
          <w:szCs w:val="24"/>
          <w:shd w:val="clear" w:color="auto" w:fill="FFFFFF"/>
        </w:rPr>
        <w:t>Pediatrics</w:t>
      </w:r>
      <w:r w:rsidRPr="00B611AF">
        <w:rPr>
          <w:rFonts w:ascii="Times New Roman" w:hAnsi="Times New Roman" w:cs="Times New Roman"/>
          <w:color w:val="222222"/>
          <w:sz w:val="24"/>
          <w:szCs w:val="24"/>
          <w:shd w:val="clear" w:color="auto" w:fill="FFFFFF"/>
        </w:rPr>
        <w:t>, </w:t>
      </w:r>
      <w:r w:rsidRPr="00B611AF">
        <w:rPr>
          <w:rFonts w:ascii="Times New Roman" w:hAnsi="Times New Roman" w:cs="Times New Roman"/>
          <w:i/>
          <w:iCs/>
          <w:color w:val="222222"/>
          <w:sz w:val="24"/>
          <w:szCs w:val="24"/>
          <w:shd w:val="clear" w:color="auto" w:fill="FFFFFF"/>
        </w:rPr>
        <w:t>142</w:t>
      </w:r>
      <w:r w:rsidRPr="00B611AF">
        <w:rPr>
          <w:rFonts w:ascii="Times New Roman" w:hAnsi="Times New Roman" w:cs="Times New Roman"/>
          <w:color w:val="222222"/>
          <w:sz w:val="24"/>
          <w:szCs w:val="24"/>
          <w:shd w:val="clear" w:color="auto" w:fill="FFFFFF"/>
        </w:rPr>
        <w:t>(Supplement 3), S187-S192.</w:t>
      </w:r>
    </w:p>
    <w:p w:rsidR="00B611AF" w:rsidRPr="00B611AF" w:rsidRDefault="00113421" w:rsidP="00AD558F">
      <w:pPr>
        <w:spacing w:line="480" w:lineRule="auto"/>
        <w:ind w:left="720" w:hanging="720"/>
        <w:rPr>
          <w:rFonts w:ascii="Times New Roman" w:hAnsi="Times New Roman" w:cs="Times New Roman"/>
          <w:sz w:val="24"/>
          <w:szCs w:val="24"/>
        </w:rPr>
      </w:pPr>
      <w:r w:rsidRPr="00B611AF">
        <w:rPr>
          <w:rFonts w:ascii="Times New Roman" w:hAnsi="Times New Roman" w:cs="Times New Roman"/>
          <w:color w:val="222222"/>
          <w:sz w:val="24"/>
          <w:szCs w:val="24"/>
          <w:shd w:val="clear" w:color="auto" w:fill="FFFFFF"/>
        </w:rPr>
        <w:t>Koh, H. K., Bantham, A., Geller, A. C., Rukavina, M. A., Emmons, K. M., Yatsko, P., &amp; Restuccia, R. (2020). Anchor institutions: best practices to address social needs and social determinants of health. </w:t>
      </w:r>
      <w:r w:rsidRPr="00B611AF">
        <w:rPr>
          <w:rFonts w:ascii="Times New Roman" w:hAnsi="Times New Roman" w:cs="Times New Roman"/>
          <w:i/>
          <w:iCs/>
          <w:color w:val="222222"/>
          <w:sz w:val="24"/>
          <w:szCs w:val="24"/>
          <w:shd w:val="clear" w:color="auto" w:fill="FFFFFF"/>
        </w:rPr>
        <w:t>American journal of public health</w:t>
      </w:r>
      <w:r w:rsidRPr="00B611AF">
        <w:rPr>
          <w:rFonts w:ascii="Times New Roman" w:hAnsi="Times New Roman" w:cs="Times New Roman"/>
          <w:color w:val="222222"/>
          <w:sz w:val="24"/>
          <w:szCs w:val="24"/>
          <w:shd w:val="clear" w:color="auto" w:fill="FFFFFF"/>
        </w:rPr>
        <w:t>, </w:t>
      </w:r>
      <w:r w:rsidRPr="00B611AF">
        <w:rPr>
          <w:rFonts w:ascii="Times New Roman" w:hAnsi="Times New Roman" w:cs="Times New Roman"/>
          <w:i/>
          <w:iCs/>
          <w:color w:val="222222"/>
          <w:sz w:val="24"/>
          <w:szCs w:val="24"/>
          <w:shd w:val="clear" w:color="auto" w:fill="FFFFFF"/>
        </w:rPr>
        <w:t>110</w:t>
      </w:r>
      <w:r w:rsidRPr="00B611AF">
        <w:rPr>
          <w:rFonts w:ascii="Times New Roman" w:hAnsi="Times New Roman" w:cs="Times New Roman"/>
          <w:color w:val="222222"/>
          <w:sz w:val="24"/>
          <w:szCs w:val="24"/>
          <w:shd w:val="clear" w:color="auto" w:fill="FFFFFF"/>
        </w:rPr>
        <w:t>(3), 309-316.</w:t>
      </w:r>
    </w:p>
    <w:p w:rsidR="00B611AF" w:rsidRPr="00B611AF" w:rsidRDefault="00113421" w:rsidP="00AD558F">
      <w:pPr>
        <w:spacing w:line="480" w:lineRule="auto"/>
        <w:ind w:left="720" w:hanging="720"/>
        <w:rPr>
          <w:rFonts w:ascii="Times New Roman" w:hAnsi="Times New Roman" w:cs="Times New Roman"/>
          <w:color w:val="222222"/>
          <w:sz w:val="24"/>
          <w:szCs w:val="24"/>
          <w:shd w:val="clear" w:color="auto" w:fill="FFFFFF"/>
        </w:rPr>
      </w:pPr>
      <w:r w:rsidRPr="00B611AF">
        <w:rPr>
          <w:rFonts w:ascii="Times New Roman" w:hAnsi="Times New Roman" w:cs="Times New Roman"/>
          <w:color w:val="222222"/>
          <w:sz w:val="24"/>
          <w:szCs w:val="24"/>
          <w:shd w:val="clear" w:color="auto" w:fill="FFFFFF"/>
        </w:rPr>
        <w:t xml:space="preserve">Mochon, D., Schwartz, J., Maroba, J., Patel, D., &amp; Ariely, D. (2017). Gain without pain: The extended effects of a behavioural health intervention. </w:t>
      </w:r>
      <w:r w:rsidRPr="00B611AF">
        <w:rPr>
          <w:rFonts w:ascii="Times New Roman" w:hAnsi="Times New Roman" w:cs="Times New Roman"/>
          <w:i/>
          <w:iCs/>
          <w:color w:val="222222"/>
          <w:sz w:val="24"/>
          <w:szCs w:val="24"/>
          <w:shd w:val="clear" w:color="auto" w:fill="FFFFFF"/>
        </w:rPr>
        <w:t>Management Science</w:t>
      </w:r>
      <w:r w:rsidRPr="00B611AF">
        <w:rPr>
          <w:rFonts w:ascii="Times New Roman" w:hAnsi="Times New Roman" w:cs="Times New Roman"/>
          <w:color w:val="222222"/>
          <w:sz w:val="24"/>
          <w:szCs w:val="24"/>
          <w:shd w:val="clear" w:color="auto" w:fill="FFFFFF"/>
        </w:rPr>
        <w:t>, </w:t>
      </w:r>
      <w:r w:rsidRPr="00B611AF">
        <w:rPr>
          <w:rFonts w:ascii="Times New Roman" w:hAnsi="Times New Roman" w:cs="Times New Roman"/>
          <w:i/>
          <w:iCs/>
          <w:color w:val="222222"/>
          <w:sz w:val="24"/>
          <w:szCs w:val="24"/>
          <w:shd w:val="clear" w:color="auto" w:fill="FFFFFF"/>
        </w:rPr>
        <w:t>63</w:t>
      </w:r>
      <w:r w:rsidRPr="00B611AF">
        <w:rPr>
          <w:rFonts w:ascii="Times New Roman" w:hAnsi="Times New Roman" w:cs="Times New Roman"/>
          <w:color w:val="222222"/>
          <w:sz w:val="24"/>
          <w:szCs w:val="24"/>
          <w:shd w:val="clear" w:color="auto" w:fill="FFFFFF"/>
        </w:rPr>
        <w:t>(1), 58-72.</w:t>
      </w:r>
    </w:p>
    <w:sectPr w:rsidR="00B611AF" w:rsidRPr="00B611AF" w:rsidSect="00264B40">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1502" w:rsidRDefault="00671502">
      <w:pPr>
        <w:spacing w:after="0" w:line="240" w:lineRule="auto"/>
      </w:pPr>
      <w:r>
        <w:separator/>
      </w:r>
    </w:p>
  </w:endnote>
  <w:endnote w:type="continuationSeparator" w:id="1">
    <w:p w:rsidR="00671502" w:rsidRDefault="0067150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1502" w:rsidRDefault="00671502">
      <w:pPr>
        <w:spacing w:after="0" w:line="240" w:lineRule="auto"/>
      </w:pPr>
      <w:r>
        <w:separator/>
      </w:r>
    </w:p>
  </w:footnote>
  <w:footnote w:type="continuationSeparator" w:id="1">
    <w:p w:rsidR="00671502" w:rsidRDefault="0067150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00334810"/>
      <w:docPartObj>
        <w:docPartGallery w:val="Page Numbers (Top of Page)"/>
        <w:docPartUnique/>
      </w:docPartObj>
    </w:sdtPr>
    <w:sdtEndPr>
      <w:rPr>
        <w:rFonts w:ascii="Times New Roman" w:hAnsi="Times New Roman" w:cs="Times New Roman"/>
        <w:noProof/>
        <w:sz w:val="24"/>
        <w:szCs w:val="24"/>
      </w:rPr>
    </w:sdtEndPr>
    <w:sdtContent>
      <w:p w:rsidR="003E27EF" w:rsidRPr="003E27EF" w:rsidRDefault="00D01337">
        <w:pPr>
          <w:pStyle w:val="Header"/>
          <w:jc w:val="right"/>
          <w:rPr>
            <w:rFonts w:ascii="Times New Roman" w:hAnsi="Times New Roman" w:cs="Times New Roman"/>
            <w:sz w:val="24"/>
            <w:szCs w:val="24"/>
          </w:rPr>
        </w:pPr>
        <w:r w:rsidRPr="003E27EF">
          <w:rPr>
            <w:rFonts w:ascii="Times New Roman" w:hAnsi="Times New Roman" w:cs="Times New Roman"/>
            <w:sz w:val="24"/>
            <w:szCs w:val="24"/>
          </w:rPr>
          <w:fldChar w:fldCharType="begin"/>
        </w:r>
        <w:r w:rsidR="00113421" w:rsidRPr="003E27EF">
          <w:rPr>
            <w:rFonts w:ascii="Times New Roman" w:hAnsi="Times New Roman" w:cs="Times New Roman"/>
            <w:sz w:val="24"/>
            <w:szCs w:val="24"/>
          </w:rPr>
          <w:instrText xml:space="preserve"> PAGE   \* MERGEFORMAT </w:instrText>
        </w:r>
        <w:r w:rsidRPr="003E27EF">
          <w:rPr>
            <w:rFonts w:ascii="Times New Roman" w:hAnsi="Times New Roman" w:cs="Times New Roman"/>
            <w:sz w:val="24"/>
            <w:szCs w:val="24"/>
          </w:rPr>
          <w:fldChar w:fldCharType="separate"/>
        </w:r>
        <w:r w:rsidR="00A90EFE">
          <w:rPr>
            <w:rFonts w:ascii="Times New Roman" w:hAnsi="Times New Roman" w:cs="Times New Roman"/>
            <w:noProof/>
            <w:sz w:val="24"/>
            <w:szCs w:val="24"/>
          </w:rPr>
          <w:t>1</w:t>
        </w:r>
        <w:r w:rsidRPr="003E27EF">
          <w:rPr>
            <w:rFonts w:ascii="Times New Roman" w:hAnsi="Times New Roman" w:cs="Times New Roman"/>
            <w:noProof/>
            <w:sz w:val="24"/>
            <w:szCs w:val="24"/>
          </w:rPr>
          <w:fldChar w:fldCharType="end"/>
        </w:r>
      </w:p>
    </w:sdtContent>
  </w:sdt>
  <w:p w:rsidR="003E27EF" w:rsidRDefault="003E27E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E27EF"/>
    <w:rsid w:val="00113421"/>
    <w:rsid w:val="00160622"/>
    <w:rsid w:val="00167D75"/>
    <w:rsid w:val="002101E4"/>
    <w:rsid w:val="00264B40"/>
    <w:rsid w:val="003A2635"/>
    <w:rsid w:val="003E27EF"/>
    <w:rsid w:val="00466D24"/>
    <w:rsid w:val="00671502"/>
    <w:rsid w:val="0099080B"/>
    <w:rsid w:val="009B07E0"/>
    <w:rsid w:val="009C2DE5"/>
    <w:rsid w:val="00A90EFE"/>
    <w:rsid w:val="00AD558F"/>
    <w:rsid w:val="00B3143C"/>
    <w:rsid w:val="00B611AF"/>
    <w:rsid w:val="00B96762"/>
    <w:rsid w:val="00BC3989"/>
    <w:rsid w:val="00D01337"/>
    <w:rsid w:val="00D021B9"/>
    <w:rsid w:val="00D42E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B4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27EF"/>
  </w:style>
  <w:style w:type="paragraph" w:styleId="Footer">
    <w:name w:val="footer"/>
    <w:basedOn w:val="Normal"/>
    <w:link w:val="FooterChar"/>
    <w:uiPriority w:val="99"/>
    <w:unhideWhenUsed/>
    <w:rsid w:val="003E2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27E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1071</Words>
  <Characters>6105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2021-10-03T10:54:00Z</dcterms:created>
  <dcterms:modified xsi:type="dcterms:W3CDTF">2021-10-03T10:54:00Z</dcterms:modified>
</cp:coreProperties>
</file>